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2"/>
        <w:rPr>
          <w:rFonts w:ascii="筑紫A丸ゴシック ボールド" w:cs="筑紫A丸ゴシック ボールド" w:hAnsi="筑紫A丸ゴシック ボールド" w:eastAsia="筑紫A丸ゴシック ボールド"/>
          <w:u w:val="single"/>
        </w:rPr>
      </w:pPr>
      <w:r>
        <w:rPr>
          <w:rFonts w:eastAsia="筑紫A丸ゴシック ボールド" w:hint="eastAsia"/>
          <w:rtl w:val="0"/>
          <w:lang w:val="ja-JP" w:eastAsia="ja-JP"/>
        </w:rPr>
        <w:t>個展・グループ展</w:t>
      </w:r>
      <w:r>
        <w:rPr>
          <w:rFonts w:ascii="筑紫A丸ゴシック ボールド" w:hAnsi="筑紫A丸ゴシック ボールド"/>
          <w:rtl w:val="0"/>
          <w:lang w:val="en-US"/>
        </w:rPr>
        <w:t xml:space="preserve"> </w:t>
      </w:r>
      <w:r>
        <w:rPr>
          <w:rFonts w:eastAsia="筑紫A丸ゴシック ボールド" w:hint="eastAsia"/>
          <w:rtl w:val="0"/>
          <w:lang w:val="ja-JP" w:eastAsia="ja-JP"/>
        </w:rPr>
        <w:t>納品リスト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作家名：　　　　　　　（ふりがな：　　　　　　　）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Twitter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@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　　　　　　　　　</w:t>
      </w:r>
    </w:p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</w:rPr>
      </w:pP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instagram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アカウント：</w:t>
      </w:r>
    </w:p>
    <w:tbl>
      <w:tblPr>
        <w:tblW w:w="947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604"/>
        <w:gridCol w:w="1367"/>
        <w:gridCol w:w="1300"/>
        <w:gridCol w:w="1300"/>
        <w:gridCol w:w="1300"/>
        <w:gridCol w:w="1599"/>
      </w:tblGrid>
      <w:tr>
        <w:tblPrEx>
          <w:shd w:val="clear" w:color="auto" w:fill="bdc0bf"/>
        </w:tblPrEx>
        <w:trPr>
          <w:trHeight w:val="280" w:hRule="atLeast"/>
          <w:tblHeader/>
        </w:trPr>
        <w:tc>
          <w:tcPr>
            <w:tcW w:type="dxa" w:w="2604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品名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金額</w:t>
            </w:r>
          </w:p>
        </w:tc>
        <w:tc>
          <w:tcPr>
            <w:tcW w:type="dxa" w:w="13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納品数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在庫数</w:t>
            </w:r>
          </w:p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売上数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スタイル1"/>
              <w:jc w:val="center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売上金額</w:t>
            </w:r>
          </w:p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0" w:hRule="atLeast"/>
        </w:trPr>
        <w:tc>
          <w:tcPr>
            <w:tcW w:type="dxa" w:w="260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↑</w:t>
            </w:r>
            <w:r>
              <w:rPr>
                <w:rFonts w:eastAsia="筑紫A丸ゴシック ボールド" w:hint="eastAsia"/>
                <w:rtl w:val="0"/>
              </w:rPr>
              <w:t>納品時は太枠内のみ記入してください</w:t>
            </w:r>
          </w:p>
        </w:tc>
        <w:tc>
          <w:tcPr>
            <w:tcW w:type="dxa" w:w="136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売上合計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販売手数料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銀行手数料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1" w:hRule="atLeast"/>
        </w:trPr>
        <w:tc>
          <w:tcPr>
            <w:tcW w:type="dxa" w:w="26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</w:pPr>
            <w:r>
              <w:rPr>
                <w:rFonts w:ascii="筑紫A丸ゴシック ボールド" w:hAnsi="筑紫A丸ゴシック ボールド" w:hint="default"/>
                <w:rtl w:val="0"/>
              </w:rPr>
              <w:t>★</w:t>
            </w:r>
            <w:r>
              <w:rPr>
                <w:rFonts w:eastAsia="筑紫A丸ゴシック ボールド" w:hint="eastAsia"/>
                <w:rtl w:val="0"/>
              </w:rPr>
              <w:t>個人情報</w:t>
            </w:r>
          </w:p>
        </w:tc>
        <w:tc>
          <w:tcPr>
            <w:tcW w:type="dxa" w:w="1367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nil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表スタイル2"/>
              <w:jc w:val="right"/>
            </w:pPr>
            <w:r>
              <w:rPr>
                <w:rFonts w:eastAsia="筑紫A丸ゴシック ボールド" w:hint="eastAsia"/>
                <w:sz w:val="24"/>
                <w:szCs w:val="24"/>
                <w:rtl w:val="0"/>
              </w:rPr>
              <w:t>入金金額</w:t>
            </w:r>
          </w:p>
        </w:tc>
        <w:tc>
          <w:tcPr>
            <w:tcW w:type="dxa" w:w="159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本文"/>
        <w:rPr>
          <w:rFonts w:ascii="筑紫A丸ゴシック レギュラー" w:cs="筑紫A丸ゴシック レギュラー" w:hAnsi="筑紫A丸ゴシック レギュラー" w:eastAsia="筑紫A丸ゴシック レギュラー"/>
        </w:rPr>
      </w:pP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本名：　　　　　　　　　　（ふりがな　　　　　　　）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電話番号：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住所：〒</w:t>
      </w:r>
    </w:p>
    <w:p>
      <w:pPr>
        <w:pStyle w:val="本文"/>
        <w:spacing w:line="72" w:lineRule="auto"/>
        <w:rPr>
          <w:rFonts w:ascii="筑紫A丸ゴシック ボールド" w:cs="筑紫A丸ゴシック ボールド" w:hAnsi="筑紫A丸ゴシック ボールド" w:eastAsia="筑紫A丸ゴシック ボールド"/>
        </w:rPr>
      </w:pPr>
      <w:r>
        <w:rPr>
          <w:rFonts w:ascii="筑紫A丸ゴシック ボールド" w:hAnsi="筑紫A丸ゴシック ボールド" w:hint="default"/>
          <w:rtl w:val="0"/>
          <w:lang w:val="ja-JP" w:eastAsia="ja-JP"/>
        </w:rPr>
        <w:t>★</w:t>
      </w:r>
      <w:r>
        <w:rPr>
          <w:rFonts w:eastAsia="筑紫A丸ゴシック ボールド" w:hint="eastAsia"/>
          <w:rtl w:val="0"/>
          <w:lang w:val="ja-JP" w:eastAsia="ja-JP"/>
        </w:rPr>
        <w:t>売上入金先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銀行名：　　　　　　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1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三菱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>UFJ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銀行をご指定いただくと振込手数料がかかりません。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支店名：　　　　　　</w:t>
      </w:r>
      <w:r>
        <w:rPr>
          <w:rFonts w:ascii="筑紫A丸ゴシック レギュラー" w:hAnsi="筑紫A丸ゴシック レギュラー"/>
          <w:rtl w:val="0"/>
          <w:lang w:val="en-US"/>
        </w:rPr>
        <w:t xml:space="preserve"> </w:t>
      </w:r>
      <w:r>
        <w:rPr>
          <w:rFonts w:eastAsia="筑紫A丸ゴシック レギュラー" w:hint="eastAsia"/>
          <w:rtl w:val="0"/>
          <w:lang w:val="ja-JP" w:eastAsia="ja-JP"/>
        </w:rPr>
        <w:t>　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2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　店番：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預金種別：普通・当座　　</w:t>
      </w:r>
      <w:r>
        <w:rPr>
          <w:rFonts w:ascii="筑紫A丸ゴシック レギュラー" w:hAnsi="筑紫A丸ゴシック レギュラー" w:hint="default"/>
          <w:sz w:val="20"/>
          <w:szCs w:val="20"/>
          <w:rtl w:val="0"/>
          <w:lang w:val="ja-JP" w:eastAsia="ja-JP"/>
        </w:rPr>
        <w:t>※</w:t>
      </w:r>
      <w:r>
        <w:rPr>
          <w:rFonts w:ascii="筑紫A丸ゴシック レギュラー" w:hAnsi="筑紫A丸ゴシック レギュラー"/>
          <w:sz w:val="20"/>
          <w:szCs w:val="20"/>
          <w:rtl w:val="0"/>
          <w:lang w:val="en-US"/>
        </w:rPr>
        <w:t xml:space="preserve">3 </w:t>
      </w:r>
      <w:r>
        <w:rPr>
          <w:rFonts w:eastAsia="筑紫A丸ゴシック レギュラー" w:hint="eastAsia"/>
          <w:sz w:val="20"/>
          <w:szCs w:val="20"/>
          <w:rtl w:val="0"/>
          <w:lang w:val="ja-JP" w:eastAsia="ja-JP"/>
        </w:rPr>
        <w:t>ゆうちょ銀行の場合記載不要</w:t>
      </w:r>
    </w:p>
    <w:p>
      <w:pPr>
        <w:pStyle w:val="本文"/>
        <w:spacing w:line="72" w:lineRule="auto"/>
        <w:rPr>
          <w:rFonts w:ascii="筑紫A丸ゴシック レギュラー" w:cs="筑紫A丸ゴシック レギュラー" w:hAnsi="筑紫A丸ゴシック レギュラー" w:eastAsia="筑紫A丸ゴシック レギュラー"/>
        </w:rPr>
      </w:pPr>
      <w:r>
        <w:rPr>
          <w:rFonts w:eastAsia="筑紫A丸ゴシック レギュラー" w:hint="eastAsia"/>
          <w:rtl w:val="0"/>
          <w:lang w:val="ja-JP" w:eastAsia="ja-JP"/>
        </w:rPr>
        <w:t>　口座番号：</w:t>
      </w:r>
    </w:p>
    <w:p>
      <w:pPr>
        <w:pStyle w:val="本文"/>
        <w:spacing w:line="72" w:lineRule="auto"/>
      </w:pPr>
      <w:r>
        <w:rPr>
          <w:rFonts w:eastAsia="筑紫A丸ゴシック レギュラー" w:hint="eastAsia"/>
          <w:rtl w:val="0"/>
          <w:lang w:val="ja-JP" w:eastAsia="ja-JP"/>
        </w:rPr>
        <w:t>　名義：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ボールド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2">
    <w:name w:val="見出し2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1">
    <w:name w:val="表スタイル1"/>
    <w:next w:val="表スタイル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6" w:cs="ヒラギノ角ゴ ProN W6" w:hAnsi="ヒラギノ角ゴ ProN W6" w:eastAsia="ヒラギノ角ゴ ProN W6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